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C7" w:rsidRPr="008F16FE" w:rsidRDefault="00EA18C7" w:rsidP="00EA18C7">
      <w:pPr>
        <w:pStyle w:val="Heading1"/>
        <w:spacing w:before="240" w:after="240"/>
        <w:jc w:val="center"/>
        <w:rPr>
          <w:bCs/>
          <w:sz w:val="28"/>
          <w:szCs w:val="28"/>
        </w:rPr>
      </w:pPr>
      <w:bookmarkStart w:id="0" w:name="_Toc59334730"/>
      <w:bookmarkStart w:id="1" w:name="_Toc61422135"/>
      <w:bookmarkStart w:id="2" w:name="_Toc379985858"/>
      <w:r w:rsidRPr="008F16FE">
        <w:rPr>
          <w:bCs/>
          <w:sz w:val="28"/>
          <w:szCs w:val="28"/>
        </w:rPr>
        <w:t>3. Pretendentu atlases prasības</w:t>
      </w:r>
      <w:bookmarkEnd w:id="0"/>
      <w:bookmarkEnd w:id="1"/>
      <w:bookmarkEnd w:id="2"/>
    </w:p>
    <w:p w:rsidR="00EA18C7" w:rsidRPr="008F16FE" w:rsidRDefault="00EA18C7" w:rsidP="00EA18C7">
      <w:pPr>
        <w:spacing w:after="120"/>
        <w:ind w:left="902" w:hanging="902"/>
        <w:jc w:val="both"/>
        <w:rPr>
          <w:b/>
        </w:rPr>
      </w:pPr>
      <w:bookmarkStart w:id="3" w:name="_Toc53909470"/>
      <w:bookmarkStart w:id="4" w:name="_Toc61422136"/>
      <w:bookmarkStart w:id="5" w:name="_Toc53909471"/>
      <w:bookmarkStart w:id="6" w:name="_Toc61422137"/>
      <w:r w:rsidRPr="008F16FE">
        <w:rPr>
          <w:b/>
        </w:rPr>
        <w:t xml:space="preserve">3.1. </w:t>
      </w:r>
      <w:r w:rsidRPr="008F16FE">
        <w:rPr>
          <w:b/>
        </w:rPr>
        <w:tab/>
        <w:t>Vispārējie nosacījumi Pretendenta dalībai Konkursā</w:t>
      </w:r>
      <w:bookmarkEnd w:id="3"/>
      <w:bookmarkEnd w:id="4"/>
    </w:p>
    <w:tbl>
      <w:tblPr>
        <w:tblW w:w="88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4536"/>
      </w:tblGrid>
      <w:tr w:rsidR="00EA18C7" w:rsidRPr="008F16FE" w:rsidTr="00526C60">
        <w:tc>
          <w:tcPr>
            <w:tcW w:w="4264" w:type="dxa"/>
            <w:shd w:val="clear" w:color="auto" w:fill="BFBFBF"/>
          </w:tcPr>
          <w:p w:rsidR="00EA18C7" w:rsidRPr="008F16FE" w:rsidRDefault="00EA18C7" w:rsidP="00526C60">
            <w:pPr>
              <w:jc w:val="both"/>
              <w:rPr>
                <w:rFonts w:eastAsia="Times New Roman"/>
                <w:b/>
              </w:rPr>
            </w:pPr>
            <w:r w:rsidRPr="008F16FE">
              <w:rPr>
                <w:rFonts w:eastAsia="Times New Roman"/>
                <w:b/>
              </w:rPr>
              <w:t>Prasība</w:t>
            </w:r>
          </w:p>
        </w:tc>
        <w:tc>
          <w:tcPr>
            <w:tcW w:w="4536" w:type="dxa"/>
            <w:tcBorders>
              <w:bottom w:val="single" w:sz="4" w:space="0" w:color="auto"/>
            </w:tcBorders>
            <w:shd w:val="clear" w:color="auto" w:fill="BFBFBF"/>
          </w:tcPr>
          <w:p w:rsidR="00EA18C7" w:rsidRPr="008F16FE" w:rsidRDefault="00EA18C7" w:rsidP="00526C60">
            <w:pPr>
              <w:jc w:val="both"/>
              <w:rPr>
                <w:rFonts w:eastAsia="Times New Roman"/>
                <w:b/>
              </w:rPr>
            </w:pPr>
            <w:r w:rsidRPr="008F16FE">
              <w:rPr>
                <w:rFonts w:eastAsia="Times New Roman"/>
                <w:b/>
              </w:rPr>
              <w:t>Prasības izpildes pierādīšanas kārtība</w:t>
            </w:r>
          </w:p>
        </w:tc>
      </w:tr>
      <w:tr w:rsidR="00EA18C7" w:rsidRPr="008F16FE" w:rsidTr="00526C60">
        <w:tc>
          <w:tcPr>
            <w:tcW w:w="4264" w:type="dxa"/>
          </w:tcPr>
          <w:p w:rsidR="00EA18C7" w:rsidRPr="008F16FE" w:rsidRDefault="00EA18C7" w:rsidP="00526C60">
            <w:pPr>
              <w:jc w:val="both"/>
              <w:rPr>
                <w:rFonts w:eastAsia="Times New Roman"/>
                <w:b/>
              </w:rPr>
            </w:pPr>
            <w:r w:rsidRPr="008F16FE">
              <w:rPr>
                <w:rFonts w:eastAsia="Times New Roman"/>
              </w:rPr>
              <w:t>Uz Pretendentu neattiecas neviens no Publisko iepirkumu likuma 39.</w:t>
            </w:r>
            <w:r w:rsidRPr="008F16FE">
              <w:rPr>
                <w:rFonts w:eastAsia="Times New Roman"/>
                <w:vertAlign w:val="superscript"/>
              </w:rPr>
              <w:t xml:space="preserve">1 </w:t>
            </w:r>
            <w:r w:rsidRPr="008F16FE">
              <w:rPr>
                <w:rFonts w:eastAsia="Times New Roman"/>
              </w:rPr>
              <w:t>panta pirmajā daļā noteiktajiem pretendentu izslēgšanas gadījumiem (vai arī ir iestājies kāds no Publisko iepirkumu likuma 39.</w:t>
            </w:r>
            <w:r w:rsidRPr="008F16FE">
              <w:rPr>
                <w:rFonts w:eastAsia="Times New Roman"/>
                <w:vertAlign w:val="superscript"/>
              </w:rPr>
              <w:t>1</w:t>
            </w:r>
            <w:r w:rsidRPr="008F16FE">
              <w:rPr>
                <w:rFonts w:eastAsia="Times New Roman"/>
              </w:rPr>
              <w:t xml:space="preserve"> panta ceturtajā daļā noteiktajiem pretendentu neizslēgšanas nosacījumiem) ciktāl minētās likuma normas šajā iepirkuma procedūrā ir piemērojamas</w:t>
            </w:r>
            <w:r w:rsidRPr="008F16FE">
              <w:t>.</w:t>
            </w:r>
          </w:p>
        </w:tc>
        <w:tc>
          <w:tcPr>
            <w:tcW w:w="4536" w:type="dxa"/>
            <w:shd w:val="clear" w:color="auto" w:fill="D9D9D9"/>
          </w:tcPr>
          <w:p w:rsidR="00EA18C7" w:rsidRPr="00691AC9" w:rsidRDefault="00EA18C7" w:rsidP="00526C60">
            <w:pPr>
              <w:jc w:val="both"/>
              <w:rPr>
                <w:rFonts w:eastAsia="Times New Roman"/>
              </w:rPr>
            </w:pPr>
            <w:r w:rsidRPr="008F16FE">
              <w:rPr>
                <w:rFonts w:eastAsia="Times New Roman"/>
              </w:rPr>
              <w:t>Iepirkuma komisija pārbaudi veiks saskaņā ar Publisko iepirkumu likumā noteikto pretendentu pārbaudes kārtību.</w:t>
            </w:r>
          </w:p>
        </w:tc>
      </w:tr>
      <w:tr w:rsidR="00EA18C7" w:rsidRPr="008F16FE" w:rsidTr="00526C60">
        <w:tc>
          <w:tcPr>
            <w:tcW w:w="4264" w:type="dxa"/>
          </w:tcPr>
          <w:p w:rsidR="00EA18C7" w:rsidRPr="008F16FE" w:rsidRDefault="00EA18C7" w:rsidP="00526C60">
            <w:pPr>
              <w:jc w:val="both"/>
              <w:rPr>
                <w:rFonts w:eastAsia="Times New Roman"/>
              </w:rPr>
            </w:pPr>
            <w:r w:rsidRPr="008F16FE">
              <w:rPr>
                <w:rFonts w:eastAsia="Times New Roman"/>
              </w:rPr>
              <w:t>Pretendenta piedāvājums nav nepamatoti lēts.</w:t>
            </w:r>
          </w:p>
        </w:tc>
        <w:tc>
          <w:tcPr>
            <w:tcW w:w="4536" w:type="dxa"/>
            <w:shd w:val="clear" w:color="auto" w:fill="D9D9D9"/>
          </w:tcPr>
          <w:p w:rsidR="00EA18C7" w:rsidRPr="008F16FE" w:rsidRDefault="00EA18C7" w:rsidP="00526C60">
            <w:pPr>
              <w:jc w:val="both"/>
              <w:rPr>
                <w:rFonts w:eastAsia="Times New Roman"/>
              </w:rPr>
            </w:pPr>
            <w:r w:rsidRPr="008F16FE">
              <w:rPr>
                <w:rFonts w:eastAsia="Times New Roman"/>
              </w:rPr>
              <w:t>Pretendents kopā ar piedāvājumu par pirmajiem trim gada ceturkšņiem pēdējo četru gada ceturkšņu periodā līdz piedāvājuma iesniegšanas dienai (vai, ja Pretendents kā nodokļu maksātājs reģistrēts vēlāk, par periodu no nākamā mēneša pēc reģistrācijas mēneša līdz piedāvājuma iesniegšanas diena) iesniedz izdrukas no Valsts ieņēmumu dienesta elektroniskās deklarēšanas sistēmas par Pretendenta un tā piedāvājumā norādīto apakšuzņēmēju vidējām stundas tarifa likmēm profesiju grupās.</w:t>
            </w:r>
          </w:p>
          <w:p w:rsidR="00EA18C7" w:rsidRPr="008F16FE" w:rsidRDefault="00EA18C7" w:rsidP="00526C60">
            <w:pPr>
              <w:jc w:val="both"/>
              <w:rPr>
                <w:rFonts w:eastAsia="Times New Roman"/>
              </w:rPr>
            </w:pPr>
            <w:r w:rsidRPr="008F16FE">
              <w:rPr>
                <w:rFonts w:eastAsia="Times New Roman"/>
              </w:rPr>
              <w:t>Komisija pārbaudi veiks saskaņā ar Publisko iepirkumu likumā noteikto pretendentu pārbaudes kārtību.</w:t>
            </w:r>
          </w:p>
        </w:tc>
      </w:tr>
    </w:tbl>
    <w:bookmarkEnd w:id="5"/>
    <w:bookmarkEnd w:id="6"/>
    <w:p w:rsidR="00EA18C7" w:rsidRPr="008F16FE" w:rsidRDefault="00EA18C7" w:rsidP="00EA18C7">
      <w:pPr>
        <w:spacing w:before="240" w:after="120"/>
        <w:ind w:left="902" w:hanging="902"/>
        <w:jc w:val="both"/>
        <w:rPr>
          <w:b/>
        </w:rPr>
      </w:pPr>
      <w:r w:rsidRPr="008F16FE">
        <w:rPr>
          <w:b/>
        </w:rPr>
        <w:t>3.2.</w:t>
      </w:r>
      <w:r w:rsidRPr="008F16FE">
        <w:rPr>
          <w:b/>
        </w:rPr>
        <w:tab/>
        <w:t xml:space="preserve">Pretendenta kvalifikācijas prasības </w:t>
      </w:r>
    </w:p>
    <w:p w:rsidR="00EA18C7" w:rsidRPr="008F16FE" w:rsidRDefault="00EA18C7" w:rsidP="00EA18C7">
      <w:pPr>
        <w:keepNext/>
        <w:spacing w:after="60"/>
        <w:ind w:left="900" w:hanging="900"/>
        <w:jc w:val="both"/>
      </w:pPr>
      <w:r w:rsidRPr="008F16FE">
        <w:t>Prasības attiecībā uz Pretendenta saimniecisko un finansiālo stāvokli.</w:t>
      </w:r>
    </w:p>
    <w:tbl>
      <w:tblPr>
        <w:tblW w:w="88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4552"/>
      </w:tblGrid>
      <w:tr w:rsidR="00EA18C7" w:rsidRPr="008F16FE" w:rsidTr="00EA18C7">
        <w:tc>
          <w:tcPr>
            <w:tcW w:w="4248" w:type="dxa"/>
            <w:tcBorders>
              <w:top w:val="single" w:sz="4" w:space="0" w:color="auto"/>
              <w:bottom w:val="single" w:sz="4" w:space="0" w:color="auto"/>
            </w:tcBorders>
            <w:shd w:val="clear" w:color="auto" w:fill="BFBFBF"/>
          </w:tcPr>
          <w:p w:rsidR="00EA18C7" w:rsidRPr="008F16FE" w:rsidRDefault="00EA18C7" w:rsidP="00526C60">
            <w:pPr>
              <w:jc w:val="both"/>
              <w:rPr>
                <w:rFonts w:eastAsia="Times New Roman"/>
                <w:b/>
              </w:rPr>
            </w:pPr>
            <w:r w:rsidRPr="008F16FE">
              <w:rPr>
                <w:rFonts w:eastAsia="Times New Roman"/>
                <w:b/>
              </w:rPr>
              <w:t>Prasība</w:t>
            </w:r>
          </w:p>
        </w:tc>
        <w:tc>
          <w:tcPr>
            <w:tcW w:w="4552" w:type="dxa"/>
            <w:tcBorders>
              <w:top w:val="single" w:sz="4" w:space="0" w:color="auto"/>
              <w:bottom w:val="single" w:sz="4" w:space="0" w:color="auto"/>
              <w:right w:val="single" w:sz="4" w:space="0" w:color="auto"/>
            </w:tcBorders>
            <w:shd w:val="clear" w:color="auto" w:fill="BFBFBF"/>
          </w:tcPr>
          <w:p w:rsidR="00EA18C7" w:rsidRPr="008F16FE" w:rsidRDefault="00EA18C7" w:rsidP="00526C60">
            <w:pPr>
              <w:jc w:val="both"/>
              <w:rPr>
                <w:rFonts w:eastAsia="Times New Roman"/>
                <w:b/>
              </w:rPr>
            </w:pPr>
            <w:r w:rsidRPr="008F16FE">
              <w:rPr>
                <w:rFonts w:eastAsia="Times New Roman"/>
                <w:b/>
              </w:rPr>
              <w:t>Prasības izpildes pierādīšanas kārtība</w:t>
            </w:r>
          </w:p>
        </w:tc>
      </w:tr>
      <w:tr w:rsidR="00EA18C7" w:rsidRPr="008F16FE" w:rsidTr="00EA18C7">
        <w:trPr>
          <w:trHeight w:val="2046"/>
        </w:trPr>
        <w:tc>
          <w:tcPr>
            <w:tcW w:w="4248" w:type="dxa"/>
            <w:tcBorders>
              <w:bottom w:val="single" w:sz="4" w:space="0" w:color="auto"/>
            </w:tcBorders>
          </w:tcPr>
          <w:p w:rsidR="00EA18C7" w:rsidRPr="008F16FE" w:rsidRDefault="00901E36" w:rsidP="002D18EB">
            <w:pPr>
              <w:jc w:val="both"/>
            </w:pPr>
            <w:r w:rsidRPr="00901E36">
              <w:t>Pretendenta kopējais finanšu apgrozījums ir bijis vismaz EUR 250000. Ja Pretendents iesniedz piedāvājumu par vienu vai vairākām atsevišķām iepirkuma priekšmeta daļām, Pretendenta kopējais finanšu apgrozījums, ciktāl tas nesasniedz vismaz EUR 250000, ir bijis vismaz EUR 35 000 apmērā par katru atsevišķo daļu, kurā Pretendents iesniedz piedāvājumu</w:t>
            </w:r>
            <w:r>
              <w:t>.</w:t>
            </w:r>
          </w:p>
        </w:tc>
        <w:tc>
          <w:tcPr>
            <w:tcW w:w="4552" w:type="dxa"/>
            <w:tcBorders>
              <w:bottom w:val="single" w:sz="4" w:space="0" w:color="auto"/>
              <w:right w:val="single" w:sz="4" w:space="0" w:color="auto"/>
            </w:tcBorders>
            <w:shd w:val="clear" w:color="auto" w:fill="D9D9D9"/>
          </w:tcPr>
          <w:p w:rsidR="00EA18C7" w:rsidRPr="008F16FE" w:rsidRDefault="00EA18C7" w:rsidP="00526C60">
            <w:pPr>
              <w:spacing w:after="60"/>
              <w:jc w:val="both"/>
            </w:pPr>
            <w:r w:rsidRPr="008F16FE">
              <w:t>Piedāvājumā ietverama izziņa par Pretendenta finanšu apgrozījumu.</w:t>
            </w:r>
          </w:p>
          <w:p w:rsidR="00EA18C7" w:rsidRPr="008F16FE" w:rsidRDefault="00EA18C7" w:rsidP="00526C60">
            <w:pPr>
              <w:jc w:val="both"/>
            </w:pPr>
            <w:r w:rsidRPr="008F16FE">
              <w:t>Izziņu paraksta Pretendentu pārstāvēt tiesīgā persona, pievienojot pārstāvību apliecinošu dokumentu (piemēram, pilnvaru).</w:t>
            </w:r>
          </w:p>
        </w:tc>
      </w:tr>
    </w:tbl>
    <w:p w:rsidR="00EA18C7" w:rsidRPr="008F16FE" w:rsidRDefault="00EA18C7" w:rsidP="00EA18C7">
      <w:pPr>
        <w:spacing w:before="120" w:after="60"/>
        <w:ind w:left="894" w:hanging="894"/>
        <w:jc w:val="both"/>
      </w:pPr>
      <w:r w:rsidRPr="008F16FE">
        <w:t>Prasības attiecībā uz Pretendenta tehniskajām un profesionālajām spējām:</w:t>
      </w:r>
    </w:p>
    <w:tbl>
      <w:tblPr>
        <w:tblW w:w="88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4536"/>
      </w:tblGrid>
      <w:tr w:rsidR="00EA18C7" w:rsidRPr="008F16FE" w:rsidTr="00526C60">
        <w:trPr>
          <w:tblHeader/>
        </w:trPr>
        <w:tc>
          <w:tcPr>
            <w:tcW w:w="4264" w:type="dxa"/>
            <w:shd w:val="clear" w:color="auto" w:fill="BFBFBF"/>
          </w:tcPr>
          <w:p w:rsidR="00EA18C7" w:rsidRPr="008F16FE" w:rsidRDefault="00EA18C7" w:rsidP="00526C60">
            <w:pPr>
              <w:jc w:val="both"/>
              <w:rPr>
                <w:rFonts w:eastAsia="Times New Roman"/>
                <w:b/>
              </w:rPr>
            </w:pPr>
            <w:r w:rsidRPr="008F16FE">
              <w:rPr>
                <w:rFonts w:eastAsia="Times New Roman"/>
                <w:b/>
              </w:rPr>
              <w:t>Prasība</w:t>
            </w:r>
          </w:p>
        </w:tc>
        <w:tc>
          <w:tcPr>
            <w:tcW w:w="4536" w:type="dxa"/>
            <w:tcBorders>
              <w:bottom w:val="single" w:sz="4" w:space="0" w:color="auto"/>
            </w:tcBorders>
            <w:shd w:val="clear" w:color="auto" w:fill="BFBFBF"/>
          </w:tcPr>
          <w:p w:rsidR="00EA18C7" w:rsidRPr="008F16FE" w:rsidRDefault="00EA18C7" w:rsidP="00526C60">
            <w:pPr>
              <w:jc w:val="both"/>
              <w:rPr>
                <w:rFonts w:eastAsia="Times New Roman"/>
                <w:b/>
              </w:rPr>
            </w:pPr>
            <w:r w:rsidRPr="008F16FE">
              <w:rPr>
                <w:rFonts w:eastAsia="Times New Roman"/>
                <w:b/>
              </w:rPr>
              <w:t>Prasības izpildes pierādīšanas kārtība</w:t>
            </w:r>
          </w:p>
        </w:tc>
      </w:tr>
      <w:tr w:rsidR="00EA18C7" w:rsidRPr="008F16FE" w:rsidTr="00526C60">
        <w:tc>
          <w:tcPr>
            <w:tcW w:w="4264" w:type="dxa"/>
          </w:tcPr>
          <w:p w:rsidR="00EA18C7" w:rsidRPr="008F16FE" w:rsidRDefault="00EA18C7" w:rsidP="00FB0015">
            <w:pPr>
              <w:spacing w:after="60"/>
              <w:jc w:val="both"/>
              <w:rPr>
                <w:rFonts w:eastAsia="Times New Roman"/>
              </w:rPr>
            </w:pPr>
            <w:r w:rsidRPr="008F16FE">
              <w:rPr>
                <w:rFonts w:eastAsia="Times New Roman"/>
              </w:rPr>
              <w:t xml:space="preserve">Pretendents kvalitatīvi un pienācīgi izpildīti </w:t>
            </w:r>
            <w:r w:rsidR="002D18EB" w:rsidRPr="002D18EB">
              <w:rPr>
                <w:rFonts w:eastAsia="Times New Roman"/>
              </w:rPr>
              <w:t>ir veicis vismaz piecas atsevišķas iepirkuma priekšmetā ietilpstošo preču piegādes.</w:t>
            </w:r>
          </w:p>
        </w:tc>
        <w:tc>
          <w:tcPr>
            <w:tcW w:w="4536" w:type="dxa"/>
            <w:shd w:val="clear" w:color="auto" w:fill="D9D9D9"/>
          </w:tcPr>
          <w:p w:rsidR="00EA18C7" w:rsidRPr="008F16FE" w:rsidRDefault="00EA18C7" w:rsidP="00526C60">
            <w:pPr>
              <w:jc w:val="both"/>
              <w:rPr>
                <w:rFonts w:eastAsia="Times New Roman"/>
              </w:rPr>
            </w:pPr>
            <w:r w:rsidRPr="008F16FE">
              <w:rPr>
                <w:rFonts w:eastAsia="Times New Roman"/>
              </w:rPr>
              <w:t>Piedāvājumā Pretendents iesniedz pretendenta veikto piegāžu sarakstu</w:t>
            </w:r>
            <w:r w:rsidRPr="008F16FE">
              <w:rPr>
                <w:rStyle w:val="FootnoteReference"/>
                <w:rFonts w:eastAsia="Times New Roman"/>
              </w:rPr>
              <w:footnoteReference w:id="1"/>
            </w:r>
            <w:r w:rsidRPr="008F16FE">
              <w:rPr>
                <w:rFonts w:eastAsia="Times New Roman"/>
              </w:rPr>
              <w:t>.</w:t>
            </w:r>
          </w:p>
          <w:p w:rsidR="00EA18C7" w:rsidRPr="00FB0015" w:rsidRDefault="00EA18C7" w:rsidP="00526C60">
            <w:pPr>
              <w:spacing w:before="60" w:after="60"/>
              <w:jc w:val="both"/>
              <w:rPr>
                <w:rFonts w:eastAsia="Times New Roman"/>
              </w:rPr>
            </w:pPr>
            <w:r w:rsidRPr="00FB0015">
              <w:t>Saraksta pielikumā Pretendents pēc saviem ieskatiem var pievienot atsauksmes</w:t>
            </w:r>
            <w:r w:rsidRPr="00FB0015">
              <w:rPr>
                <w:rStyle w:val="FootnoteReference"/>
              </w:rPr>
              <w:footnoteReference w:id="2"/>
            </w:r>
            <w:r w:rsidRPr="00FB0015">
              <w:t xml:space="preserve"> no pasūtītājiem</w:t>
            </w:r>
            <w:r w:rsidR="00FB0015" w:rsidRPr="00FB0015">
              <w:t xml:space="preserve"> un piegādi apliecinošus dokumentus</w:t>
            </w:r>
            <w:r w:rsidRPr="00FB0015">
              <w:t xml:space="preserve"> par visām Pretendenta veiktajām piegādēm</w:t>
            </w:r>
            <w:r w:rsidRPr="00FB0015">
              <w:rPr>
                <w:iCs/>
              </w:rPr>
              <w:t xml:space="preserve">. Atsauksmi paraksta </w:t>
            </w:r>
            <w:r w:rsidRPr="00FB0015">
              <w:rPr>
                <w:rFonts w:eastAsia="Times New Roman"/>
              </w:rPr>
              <w:t>piegāžu saņēmēju</w:t>
            </w:r>
            <w:r w:rsidRPr="00FB0015">
              <w:rPr>
                <w:iCs/>
              </w:rPr>
              <w:t xml:space="preserve"> pārstāvēt tiesīgā persona.</w:t>
            </w:r>
          </w:p>
          <w:p w:rsidR="00EA18C7" w:rsidRPr="008F16FE" w:rsidRDefault="00EA18C7" w:rsidP="00526C60">
            <w:pPr>
              <w:spacing w:after="120"/>
              <w:jc w:val="both"/>
              <w:rPr>
                <w:rFonts w:eastAsia="Times New Roman"/>
              </w:rPr>
            </w:pPr>
            <w:r w:rsidRPr="00FB0015">
              <w:rPr>
                <w:rFonts w:eastAsia="Times New Roman"/>
              </w:rPr>
              <w:t>Pasūtītājam ir tiesības pārliecināties par piegāžu un atsauksmju patiesumu, pieprasot iesniegt darījumu apliecinošu dokumentu kopijas vai vēršoties pie piegāžu saņēmēja.</w:t>
            </w:r>
          </w:p>
        </w:tc>
      </w:tr>
    </w:tbl>
    <w:p w:rsidR="00EA18C7" w:rsidRPr="008F16FE" w:rsidRDefault="00EA18C7" w:rsidP="00C82F4F">
      <w:pPr>
        <w:spacing w:before="120"/>
        <w:jc w:val="both"/>
      </w:pPr>
      <w:r w:rsidRPr="008F16FE">
        <w:t>Pretendents finanšu apgrozījumu aprēķina un veiktās piegādes vai sniegtos pakalpojumus uzrāda par laika periodu, kas aizsākas ne agrāk kā pēdējo 3 (trīs) gadu (finanšu gadi – finanšu apgrozījuma pierādīšanai; kalendārie gadi – veikto piegāžu pierādīšanai) laikā un noslēdzas ar piedāvājumu iesniegšanai noteikto termiņu.</w:t>
      </w:r>
    </w:p>
    <w:p w:rsidR="004905AD" w:rsidRDefault="004905AD"/>
    <w:sectPr w:rsidR="004905AD" w:rsidSect="00EA18C7">
      <w:pgSz w:w="11906" w:h="16838"/>
      <w:pgMar w:top="1440" w:right="1800" w:bottom="1440" w:left="11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8C7" w:rsidRDefault="00EA18C7" w:rsidP="00EA18C7">
      <w:r>
        <w:separator/>
      </w:r>
    </w:p>
  </w:endnote>
  <w:endnote w:type="continuationSeparator" w:id="0">
    <w:p w:rsidR="00EA18C7" w:rsidRDefault="00EA18C7" w:rsidP="00EA18C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8C7" w:rsidRDefault="00EA18C7" w:rsidP="00EA18C7">
      <w:r>
        <w:separator/>
      </w:r>
    </w:p>
  </w:footnote>
  <w:footnote w:type="continuationSeparator" w:id="0">
    <w:p w:rsidR="00EA18C7" w:rsidRDefault="00EA18C7" w:rsidP="00EA18C7">
      <w:r>
        <w:continuationSeparator/>
      </w:r>
    </w:p>
  </w:footnote>
  <w:footnote w:id="1">
    <w:p w:rsidR="00EA18C7" w:rsidRPr="006934E9" w:rsidRDefault="00EA18C7" w:rsidP="00EA18C7">
      <w:pPr>
        <w:pStyle w:val="FootnoteText"/>
        <w:spacing w:after="60"/>
        <w:ind w:left="238" w:hanging="238"/>
        <w:jc w:val="both"/>
        <w:rPr>
          <w:i/>
          <w:sz w:val="18"/>
          <w:szCs w:val="18"/>
        </w:rPr>
      </w:pPr>
      <w:r w:rsidRPr="006934E9">
        <w:rPr>
          <w:rStyle w:val="FootnoteReference"/>
          <w:i/>
          <w:sz w:val="18"/>
          <w:szCs w:val="18"/>
        </w:rPr>
        <w:footnoteRef/>
      </w:r>
      <w:r w:rsidRPr="006934E9">
        <w:rPr>
          <w:i/>
          <w:sz w:val="18"/>
          <w:szCs w:val="18"/>
        </w:rPr>
        <w:t xml:space="preserve"> </w:t>
      </w:r>
      <w:r w:rsidRPr="006934E9">
        <w:rPr>
          <w:i/>
          <w:sz w:val="18"/>
          <w:szCs w:val="18"/>
        </w:rPr>
        <w:tab/>
      </w:r>
      <w:r w:rsidRPr="006934E9">
        <w:rPr>
          <w:rFonts w:eastAsia="Times New Roman"/>
          <w:i/>
          <w:sz w:val="18"/>
          <w:szCs w:val="18"/>
        </w:rPr>
        <w:t xml:space="preserve">Saraksts sagatavojams saskaņā ar </w:t>
      </w:r>
      <w:r w:rsidR="00B33D6C">
        <w:rPr>
          <w:rFonts w:eastAsia="Times New Roman"/>
          <w:i/>
          <w:sz w:val="18"/>
          <w:szCs w:val="18"/>
        </w:rPr>
        <w:t>prasībai pievienoto paraugu</w:t>
      </w:r>
      <w:r w:rsidRPr="006934E9">
        <w:rPr>
          <w:rFonts w:eastAsia="Times New Roman"/>
          <w:i/>
          <w:sz w:val="18"/>
          <w:szCs w:val="18"/>
        </w:rPr>
        <w:t>.</w:t>
      </w:r>
    </w:p>
  </w:footnote>
  <w:footnote w:id="2">
    <w:p w:rsidR="00EA18C7" w:rsidRPr="006934E9" w:rsidRDefault="00EA18C7" w:rsidP="00EA18C7">
      <w:pPr>
        <w:pStyle w:val="FootnoteText"/>
        <w:spacing w:after="40"/>
        <w:ind w:left="238" w:hanging="238"/>
        <w:jc w:val="both"/>
        <w:rPr>
          <w:i/>
          <w:sz w:val="16"/>
          <w:szCs w:val="16"/>
        </w:rPr>
      </w:pPr>
      <w:r w:rsidRPr="006934E9">
        <w:rPr>
          <w:rStyle w:val="FootnoteReference"/>
          <w:i/>
          <w:sz w:val="18"/>
          <w:szCs w:val="18"/>
        </w:rPr>
        <w:footnoteRef/>
      </w:r>
      <w:r w:rsidR="00B33D6C">
        <w:rPr>
          <w:i/>
          <w:sz w:val="18"/>
          <w:szCs w:val="18"/>
        </w:rPr>
        <w:t xml:space="preserve"> </w:t>
      </w:r>
      <w:r w:rsidR="00B33D6C">
        <w:rPr>
          <w:i/>
          <w:sz w:val="18"/>
          <w:szCs w:val="18"/>
        </w:rPr>
        <w:tab/>
        <w:t>Atsauksmēm jāatbilst prasībai pievienotajam</w:t>
      </w:r>
      <w:r w:rsidRPr="006934E9">
        <w:rPr>
          <w:i/>
          <w:sz w:val="18"/>
          <w:szCs w:val="18"/>
        </w:rPr>
        <w:t xml:space="preserve"> paraugam vai jāsatur pietiekama informācija, lai būtu iespējams pārliecināties par </w:t>
      </w:r>
      <w:r w:rsidRPr="006934E9">
        <w:rPr>
          <w:i/>
          <w:iCs/>
          <w:sz w:val="18"/>
          <w:szCs w:val="18"/>
        </w:rPr>
        <w:t>veikto piegāžu un sniegto pakalpojumu kvalitāti, sākumu un izpildes laiku</w:t>
      </w:r>
      <w:r w:rsidRPr="006934E9">
        <w:rPr>
          <w:i/>
          <w:sz w:val="18"/>
          <w:szCs w:val="18"/>
        </w:rPr>
        <w:t>. Ja piegādes ir veiktas vai pakalpojumi sniegti dažādiem pasūtītajiem, Pretendents iesniedz atsevišķu atsauksmi par katru šādu piegādi vai pakalpojumu, savukārt ja visas atsevišķās piegādes vai pakalpojumi (vai daļa no tiem) ir veikti vienam un tam pašam pasūtītājam, Pretendents par attiecīgajām piegādēm vai pakalpojumiem ir tiesīgs iesniegt vienu kopēju atsauksmi.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31C27"/>
    <w:multiLevelType w:val="hybridMultilevel"/>
    <w:tmpl w:val="7A1E32C0"/>
    <w:lvl w:ilvl="0" w:tplc="69DEE618">
      <w:start w:val="1"/>
      <w:numFmt w:val="bullet"/>
      <w:lvlText w:val="+"/>
      <w:lvlJc w:val="left"/>
      <w:pPr>
        <w:ind w:left="1002" w:hanging="360"/>
      </w:pPr>
      <w:rPr>
        <w:rFonts w:ascii="Courier New" w:hAnsi="Courier New" w:hint="default"/>
      </w:rPr>
    </w:lvl>
    <w:lvl w:ilvl="1" w:tplc="04260003" w:tentative="1">
      <w:start w:val="1"/>
      <w:numFmt w:val="bullet"/>
      <w:lvlText w:val="o"/>
      <w:lvlJc w:val="left"/>
      <w:pPr>
        <w:ind w:left="1722" w:hanging="360"/>
      </w:pPr>
      <w:rPr>
        <w:rFonts w:ascii="Courier New" w:hAnsi="Courier New" w:cs="Courier New" w:hint="default"/>
      </w:rPr>
    </w:lvl>
    <w:lvl w:ilvl="2" w:tplc="04260005" w:tentative="1">
      <w:start w:val="1"/>
      <w:numFmt w:val="bullet"/>
      <w:lvlText w:val=""/>
      <w:lvlJc w:val="left"/>
      <w:pPr>
        <w:ind w:left="2442" w:hanging="360"/>
      </w:pPr>
      <w:rPr>
        <w:rFonts w:ascii="Wingdings" w:hAnsi="Wingdings" w:hint="default"/>
      </w:rPr>
    </w:lvl>
    <w:lvl w:ilvl="3" w:tplc="04260001" w:tentative="1">
      <w:start w:val="1"/>
      <w:numFmt w:val="bullet"/>
      <w:lvlText w:val=""/>
      <w:lvlJc w:val="left"/>
      <w:pPr>
        <w:ind w:left="3162" w:hanging="360"/>
      </w:pPr>
      <w:rPr>
        <w:rFonts w:ascii="Symbol" w:hAnsi="Symbol" w:hint="default"/>
      </w:rPr>
    </w:lvl>
    <w:lvl w:ilvl="4" w:tplc="04260003" w:tentative="1">
      <w:start w:val="1"/>
      <w:numFmt w:val="bullet"/>
      <w:lvlText w:val="o"/>
      <w:lvlJc w:val="left"/>
      <w:pPr>
        <w:ind w:left="3882" w:hanging="360"/>
      </w:pPr>
      <w:rPr>
        <w:rFonts w:ascii="Courier New" w:hAnsi="Courier New" w:cs="Courier New" w:hint="default"/>
      </w:rPr>
    </w:lvl>
    <w:lvl w:ilvl="5" w:tplc="04260005" w:tentative="1">
      <w:start w:val="1"/>
      <w:numFmt w:val="bullet"/>
      <w:lvlText w:val=""/>
      <w:lvlJc w:val="left"/>
      <w:pPr>
        <w:ind w:left="4602" w:hanging="360"/>
      </w:pPr>
      <w:rPr>
        <w:rFonts w:ascii="Wingdings" w:hAnsi="Wingdings" w:hint="default"/>
      </w:rPr>
    </w:lvl>
    <w:lvl w:ilvl="6" w:tplc="04260001" w:tentative="1">
      <w:start w:val="1"/>
      <w:numFmt w:val="bullet"/>
      <w:lvlText w:val=""/>
      <w:lvlJc w:val="left"/>
      <w:pPr>
        <w:ind w:left="5322" w:hanging="360"/>
      </w:pPr>
      <w:rPr>
        <w:rFonts w:ascii="Symbol" w:hAnsi="Symbol" w:hint="default"/>
      </w:rPr>
    </w:lvl>
    <w:lvl w:ilvl="7" w:tplc="04260003" w:tentative="1">
      <w:start w:val="1"/>
      <w:numFmt w:val="bullet"/>
      <w:lvlText w:val="o"/>
      <w:lvlJc w:val="left"/>
      <w:pPr>
        <w:ind w:left="6042" w:hanging="360"/>
      </w:pPr>
      <w:rPr>
        <w:rFonts w:ascii="Courier New" w:hAnsi="Courier New" w:cs="Courier New" w:hint="default"/>
      </w:rPr>
    </w:lvl>
    <w:lvl w:ilvl="8" w:tplc="04260005" w:tentative="1">
      <w:start w:val="1"/>
      <w:numFmt w:val="bullet"/>
      <w:lvlText w:val=""/>
      <w:lvlJc w:val="left"/>
      <w:pPr>
        <w:ind w:left="6762" w:hanging="360"/>
      </w:pPr>
      <w:rPr>
        <w:rFonts w:ascii="Wingdings" w:hAnsi="Wingdings" w:hint="default"/>
      </w:rPr>
    </w:lvl>
  </w:abstractNum>
  <w:abstractNum w:abstractNumId="1">
    <w:nsid w:val="7094312B"/>
    <w:multiLevelType w:val="hybridMultilevel"/>
    <w:tmpl w:val="D632B462"/>
    <w:lvl w:ilvl="0" w:tplc="2918033E">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revisionView w:inkAnnotations="0"/>
  <w:defaultTabStop w:val="720"/>
  <w:drawingGridHorizontalSpacing w:val="28"/>
  <w:drawingGridVerticalSpacing w:val="28"/>
  <w:displayHorizontalDrawingGridEvery w:val="2"/>
  <w:characterSpacingControl w:val="doNotCompress"/>
  <w:footnotePr>
    <w:footnote w:id="-1"/>
    <w:footnote w:id="0"/>
  </w:footnotePr>
  <w:endnotePr>
    <w:endnote w:id="-1"/>
    <w:endnote w:id="0"/>
  </w:endnotePr>
  <w:compat/>
  <w:rsids>
    <w:rsidRoot w:val="00EA18C7"/>
    <w:rsid w:val="00090F08"/>
    <w:rsid w:val="000E0DA9"/>
    <w:rsid w:val="001E035A"/>
    <w:rsid w:val="002131D2"/>
    <w:rsid w:val="002D18EB"/>
    <w:rsid w:val="00305C52"/>
    <w:rsid w:val="00331275"/>
    <w:rsid w:val="00395A6A"/>
    <w:rsid w:val="004905AD"/>
    <w:rsid w:val="004A69BA"/>
    <w:rsid w:val="00547B2E"/>
    <w:rsid w:val="006E1E9F"/>
    <w:rsid w:val="00901E36"/>
    <w:rsid w:val="00936849"/>
    <w:rsid w:val="009C7CD5"/>
    <w:rsid w:val="00A33104"/>
    <w:rsid w:val="00A45E48"/>
    <w:rsid w:val="00A71437"/>
    <w:rsid w:val="00AF601A"/>
    <w:rsid w:val="00B33D6C"/>
    <w:rsid w:val="00BE1BFA"/>
    <w:rsid w:val="00C82F4F"/>
    <w:rsid w:val="00CC11DE"/>
    <w:rsid w:val="00CE5087"/>
    <w:rsid w:val="00E25197"/>
    <w:rsid w:val="00E310A8"/>
    <w:rsid w:val="00E52B1F"/>
    <w:rsid w:val="00E94B39"/>
    <w:rsid w:val="00EA18C7"/>
    <w:rsid w:val="00F1686A"/>
    <w:rsid w:val="00F92404"/>
    <w:rsid w:val="00FB0015"/>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C7"/>
    <w:pPr>
      <w:spacing w:after="0" w:line="240" w:lineRule="auto"/>
    </w:pPr>
    <w:rPr>
      <w:rFonts w:eastAsia="Calibri"/>
    </w:rPr>
  </w:style>
  <w:style w:type="paragraph" w:styleId="Heading1">
    <w:name w:val="heading 1"/>
    <w:basedOn w:val="Normal"/>
    <w:next w:val="Normal"/>
    <w:link w:val="Heading1Char1"/>
    <w:uiPriority w:val="99"/>
    <w:qFormat/>
    <w:rsid w:val="00EA18C7"/>
    <w:pPr>
      <w:keepNext/>
      <w:outlineLvl w:val="0"/>
    </w:pPr>
    <w:rPr>
      <w:b/>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8C7"/>
    <w:rPr>
      <w:rFonts w:asciiTheme="majorHAnsi" w:eastAsiaTheme="majorEastAsia" w:hAnsiTheme="majorHAnsi" w:cstheme="majorBidi"/>
      <w:b/>
      <w:bCs/>
      <w:color w:val="365F91" w:themeColor="accent1" w:themeShade="BF"/>
      <w:sz w:val="28"/>
      <w:szCs w:val="28"/>
    </w:rPr>
  </w:style>
  <w:style w:type="character" w:styleId="Hyperlink">
    <w:name w:val="Hyperlink"/>
    <w:uiPriority w:val="99"/>
    <w:rsid w:val="00EA18C7"/>
    <w:rPr>
      <w:rFonts w:cs="Times New Roman"/>
      <w:color w:val="0000FF"/>
      <w:u w:val="single"/>
    </w:rPr>
  </w:style>
  <w:style w:type="character" w:customStyle="1" w:styleId="Heading1Char1">
    <w:name w:val="Heading 1 Char1"/>
    <w:link w:val="Heading1"/>
    <w:uiPriority w:val="99"/>
    <w:locked/>
    <w:rsid w:val="00EA18C7"/>
    <w:rPr>
      <w:rFonts w:eastAsia="Calibri"/>
      <w:b/>
      <w:sz w:val="27"/>
      <w:szCs w:val="27"/>
    </w:rPr>
  </w:style>
  <w:style w:type="paragraph" w:styleId="ListParagraph">
    <w:name w:val="List Paragraph"/>
    <w:basedOn w:val="Normal"/>
    <w:uiPriority w:val="34"/>
    <w:qFormat/>
    <w:rsid w:val="00EA18C7"/>
    <w:pPr>
      <w:ind w:left="720"/>
      <w:contextualSpacing/>
    </w:pPr>
  </w:style>
  <w:style w:type="paragraph" w:styleId="FootnoteText">
    <w:name w:val="footnote text"/>
    <w:aliases w:val="Footnote,Fußnote"/>
    <w:basedOn w:val="Normal"/>
    <w:link w:val="FootnoteTextChar"/>
    <w:uiPriority w:val="99"/>
    <w:rsid w:val="00EA18C7"/>
    <w:rPr>
      <w:sz w:val="20"/>
      <w:szCs w:val="20"/>
    </w:rPr>
  </w:style>
  <w:style w:type="character" w:customStyle="1" w:styleId="FootnoteTextChar">
    <w:name w:val="Footnote Text Char"/>
    <w:aliases w:val="Footnote Char,Fußnote Char"/>
    <w:basedOn w:val="DefaultParagraphFont"/>
    <w:link w:val="FootnoteText"/>
    <w:uiPriority w:val="99"/>
    <w:rsid w:val="00EA18C7"/>
    <w:rPr>
      <w:rFonts w:eastAsia="Calibri"/>
      <w:sz w:val="20"/>
      <w:szCs w:val="20"/>
    </w:rPr>
  </w:style>
  <w:style w:type="character" w:styleId="FootnoteReference">
    <w:name w:val="footnote reference"/>
    <w:aliases w:val="Footnote symbol"/>
    <w:uiPriority w:val="99"/>
    <w:rsid w:val="00EA18C7"/>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1888</Words>
  <Characters>1077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juris.kalejs</dc:creator>
  <cp:lastModifiedBy>juris.kalejs</cp:lastModifiedBy>
  <cp:revision>1</cp:revision>
  <dcterms:created xsi:type="dcterms:W3CDTF">2016-03-10T12:28:00Z</dcterms:created>
  <dcterms:modified xsi:type="dcterms:W3CDTF">2016-03-10T12:46:00Z</dcterms:modified>
</cp:coreProperties>
</file>